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4B" w:rsidRPr="00B453B2" w:rsidRDefault="00F24D4B" w:rsidP="006C10FD">
      <w:pPr>
        <w:pStyle w:val="Default"/>
        <w:jc w:val="center"/>
        <w:rPr>
          <w:rFonts w:hAnsi="標楷體"/>
          <w:color w:val="auto"/>
          <w:sz w:val="32"/>
          <w:szCs w:val="32"/>
        </w:rPr>
      </w:pPr>
      <w:r w:rsidRPr="00B453B2">
        <w:rPr>
          <w:rFonts w:hAnsi="標楷體" w:hint="eastAsia"/>
          <w:b/>
          <w:color w:val="auto"/>
          <w:sz w:val="32"/>
          <w:szCs w:val="32"/>
        </w:rPr>
        <w:t>運動彩券業個人資料檔案安全維護</w:t>
      </w:r>
      <w:r w:rsidR="007C2FD4" w:rsidRPr="00B453B2">
        <w:rPr>
          <w:rFonts w:hAnsi="標楷體" w:hint="eastAsia"/>
          <w:b/>
          <w:color w:val="auto"/>
          <w:sz w:val="32"/>
          <w:szCs w:val="32"/>
        </w:rPr>
        <w:t>計畫</w:t>
      </w:r>
      <w:r w:rsidR="00426A28">
        <w:rPr>
          <w:rFonts w:hAnsi="標楷體" w:hint="eastAsia"/>
          <w:b/>
          <w:color w:val="auto"/>
          <w:sz w:val="32"/>
          <w:szCs w:val="32"/>
        </w:rPr>
        <w:t>實施辦法</w:t>
      </w:r>
      <w:r w:rsidRPr="00B453B2">
        <w:rPr>
          <w:rFonts w:hAnsi="標楷體" w:hint="eastAsia"/>
          <w:b/>
          <w:color w:val="auto"/>
          <w:sz w:val="32"/>
          <w:szCs w:val="32"/>
        </w:rPr>
        <w:t>總說明</w:t>
      </w:r>
    </w:p>
    <w:p w:rsidR="00F24D4B" w:rsidRPr="00B453B2" w:rsidRDefault="00F24D4B" w:rsidP="006C10FD">
      <w:pPr>
        <w:pStyle w:val="Default"/>
        <w:spacing w:line="460" w:lineRule="exact"/>
        <w:ind w:firstLine="480"/>
        <w:jc w:val="both"/>
        <w:rPr>
          <w:rFonts w:hAnsi="標楷體"/>
          <w:color w:val="auto"/>
          <w:sz w:val="28"/>
          <w:szCs w:val="28"/>
        </w:rPr>
      </w:pPr>
      <w:r w:rsidRPr="00B453B2">
        <w:rPr>
          <w:rFonts w:hAnsi="標楷體"/>
          <w:color w:val="auto"/>
          <w:sz w:val="28"/>
          <w:szCs w:val="28"/>
        </w:rPr>
        <w:t>個人資料保護法</w:t>
      </w:r>
      <w:r w:rsidRPr="00B453B2">
        <w:rPr>
          <w:rFonts w:hAnsi="標楷體" w:hint="eastAsia"/>
          <w:color w:val="auto"/>
          <w:sz w:val="28"/>
          <w:szCs w:val="28"/>
        </w:rPr>
        <w:t>(</w:t>
      </w:r>
      <w:r w:rsidRPr="00B453B2">
        <w:rPr>
          <w:rFonts w:hAnsi="標楷體"/>
          <w:color w:val="auto"/>
          <w:sz w:val="28"/>
          <w:szCs w:val="28"/>
        </w:rPr>
        <w:t>以下簡稱本法</w:t>
      </w:r>
      <w:r w:rsidRPr="00B453B2">
        <w:rPr>
          <w:rFonts w:hAnsi="標楷體" w:hint="eastAsia"/>
          <w:color w:val="auto"/>
          <w:sz w:val="28"/>
          <w:szCs w:val="28"/>
        </w:rPr>
        <w:t>)</w:t>
      </w:r>
      <w:r w:rsidRPr="00B453B2">
        <w:rPr>
          <w:rFonts w:hAnsi="標楷體"/>
          <w:color w:val="auto"/>
          <w:sz w:val="28"/>
          <w:szCs w:val="28"/>
        </w:rPr>
        <w:t>第二十七條規定「</w:t>
      </w:r>
      <w:r w:rsidRPr="00B453B2">
        <w:rPr>
          <w:rFonts w:hAnsi="標楷體" w:hint="eastAsia"/>
          <w:color w:val="auto"/>
          <w:sz w:val="28"/>
          <w:szCs w:val="28"/>
        </w:rPr>
        <w:t>(</w:t>
      </w:r>
      <w:r w:rsidRPr="00B453B2">
        <w:rPr>
          <w:rFonts w:hAnsi="標楷體"/>
          <w:color w:val="auto"/>
          <w:sz w:val="28"/>
          <w:szCs w:val="28"/>
        </w:rPr>
        <w:t>第一項</w:t>
      </w:r>
      <w:r w:rsidRPr="00B453B2">
        <w:rPr>
          <w:rFonts w:hAnsi="標楷體" w:hint="eastAsia"/>
          <w:color w:val="auto"/>
          <w:sz w:val="28"/>
          <w:szCs w:val="28"/>
        </w:rPr>
        <w:t>)</w:t>
      </w:r>
      <w:r w:rsidRPr="00B453B2">
        <w:rPr>
          <w:rFonts w:hAnsi="標楷體"/>
          <w:color w:val="auto"/>
          <w:sz w:val="28"/>
          <w:szCs w:val="28"/>
        </w:rPr>
        <w:t>非公務機關保有個人資料檔案者，應採行適當之安全措施，防止個人資料被竊取、竄改、毀損、滅失或洩漏。</w:t>
      </w:r>
      <w:r w:rsidRPr="00B453B2">
        <w:rPr>
          <w:rFonts w:hAnsi="標楷體" w:hint="eastAsia"/>
          <w:color w:val="auto"/>
          <w:sz w:val="28"/>
          <w:szCs w:val="28"/>
        </w:rPr>
        <w:t>(</w:t>
      </w:r>
      <w:r w:rsidRPr="00B453B2">
        <w:rPr>
          <w:rFonts w:hAnsi="標楷體"/>
          <w:color w:val="auto"/>
          <w:sz w:val="28"/>
          <w:szCs w:val="28"/>
        </w:rPr>
        <w:t>第二項</w:t>
      </w:r>
      <w:r w:rsidRPr="00B453B2">
        <w:rPr>
          <w:rFonts w:hAnsi="標楷體" w:hint="eastAsia"/>
          <w:color w:val="auto"/>
          <w:sz w:val="28"/>
          <w:szCs w:val="28"/>
        </w:rPr>
        <w:t>)</w:t>
      </w:r>
      <w:r w:rsidRPr="00B453B2">
        <w:rPr>
          <w:rFonts w:hAnsi="標楷體"/>
          <w:color w:val="auto"/>
          <w:sz w:val="28"/>
          <w:szCs w:val="28"/>
        </w:rPr>
        <w:t>中央目的事業主管機關得指定非公務機關訂定個人資料檔案安全維護計畫或業務終止後個人資料處理方法。</w:t>
      </w:r>
      <w:r w:rsidRPr="00B453B2">
        <w:rPr>
          <w:rFonts w:hAnsi="標楷體" w:hint="eastAsia"/>
          <w:color w:val="auto"/>
          <w:sz w:val="28"/>
          <w:szCs w:val="28"/>
        </w:rPr>
        <w:t>(</w:t>
      </w:r>
      <w:r w:rsidRPr="00B453B2">
        <w:rPr>
          <w:rFonts w:hAnsi="標楷體"/>
          <w:color w:val="auto"/>
          <w:sz w:val="28"/>
          <w:szCs w:val="28"/>
        </w:rPr>
        <w:t>第三項</w:t>
      </w:r>
      <w:r w:rsidRPr="00B453B2">
        <w:rPr>
          <w:rFonts w:hAnsi="標楷體" w:hint="eastAsia"/>
          <w:color w:val="auto"/>
          <w:sz w:val="28"/>
          <w:szCs w:val="28"/>
        </w:rPr>
        <w:t>)</w:t>
      </w:r>
      <w:r w:rsidRPr="00B453B2">
        <w:rPr>
          <w:rFonts w:hAnsi="標楷體"/>
          <w:color w:val="auto"/>
          <w:sz w:val="28"/>
          <w:szCs w:val="28"/>
        </w:rPr>
        <w:t>前項計畫及處理方法之標準等相關事項之辦法，由中央目的事業主管機關定之。」</w:t>
      </w:r>
      <w:r w:rsidR="00FE3715" w:rsidRPr="00B453B2">
        <w:rPr>
          <w:rFonts w:hAnsi="標楷體" w:hint="eastAsia"/>
          <w:color w:val="auto"/>
          <w:sz w:val="28"/>
          <w:szCs w:val="28"/>
        </w:rPr>
        <w:t>，</w:t>
      </w:r>
      <w:r w:rsidRPr="00B453B2">
        <w:rPr>
          <w:rFonts w:hAnsi="標楷體"/>
          <w:color w:val="auto"/>
          <w:sz w:val="28"/>
          <w:szCs w:val="28"/>
        </w:rPr>
        <w:t>考量</w:t>
      </w:r>
      <w:r w:rsidRPr="00B453B2">
        <w:rPr>
          <w:rFonts w:hAnsi="標楷體" w:hint="eastAsia"/>
          <w:color w:val="auto"/>
          <w:sz w:val="28"/>
          <w:szCs w:val="28"/>
        </w:rPr>
        <w:t>發行機構或受委託機構保有大量運動彩券經銷商、虛擬通路會員或辦理運動彩券經銷商遴選時申請者</w:t>
      </w:r>
      <w:r w:rsidRPr="00B453B2">
        <w:rPr>
          <w:rFonts w:hAnsi="標楷體"/>
          <w:color w:val="auto"/>
          <w:sz w:val="28"/>
          <w:szCs w:val="28"/>
        </w:rPr>
        <w:t>之個人資料檔案，為有效保護該等檔案，避免遭到竊取、竄改、毀損、滅失或洩漏，</w:t>
      </w:r>
      <w:r w:rsidRPr="00B453B2">
        <w:rPr>
          <w:rFonts w:hAnsi="標楷體" w:hint="eastAsia"/>
          <w:color w:val="auto"/>
          <w:sz w:val="28"/>
          <w:szCs w:val="28"/>
        </w:rPr>
        <w:t>發行機構或受委託機構應</w:t>
      </w:r>
      <w:r w:rsidRPr="00B453B2">
        <w:rPr>
          <w:rFonts w:hAnsi="標楷體"/>
          <w:color w:val="auto"/>
          <w:sz w:val="28"/>
          <w:szCs w:val="28"/>
        </w:rPr>
        <w:t>就該檔案訂定個人資料檔案安全維護計畫</w:t>
      </w:r>
      <w:r w:rsidRPr="00B453B2">
        <w:rPr>
          <w:rFonts w:hAnsi="標楷體" w:hint="eastAsia"/>
          <w:color w:val="auto"/>
          <w:sz w:val="28"/>
          <w:szCs w:val="28"/>
        </w:rPr>
        <w:t xml:space="preserve"> (</w:t>
      </w:r>
      <w:r w:rsidRPr="00B453B2">
        <w:rPr>
          <w:rFonts w:hAnsi="標楷體"/>
          <w:color w:val="auto"/>
          <w:sz w:val="28"/>
          <w:szCs w:val="28"/>
        </w:rPr>
        <w:t>以下簡稱計畫</w:t>
      </w:r>
      <w:r w:rsidRPr="00B453B2">
        <w:rPr>
          <w:rFonts w:hAnsi="標楷體" w:hint="eastAsia"/>
          <w:color w:val="auto"/>
          <w:sz w:val="28"/>
          <w:szCs w:val="28"/>
        </w:rPr>
        <w:t>)</w:t>
      </w:r>
      <w:r w:rsidRPr="00B453B2">
        <w:rPr>
          <w:rFonts w:hAnsi="標楷體"/>
          <w:color w:val="auto"/>
          <w:sz w:val="28"/>
          <w:szCs w:val="28"/>
        </w:rPr>
        <w:t>，包括業務終止後對該檔案之適當處理方法。為使</w:t>
      </w:r>
      <w:r w:rsidRPr="00B453B2">
        <w:rPr>
          <w:rFonts w:hAnsi="標楷體" w:hint="eastAsia"/>
          <w:color w:val="auto"/>
          <w:sz w:val="28"/>
          <w:szCs w:val="28"/>
        </w:rPr>
        <w:t>發行機構或受委託機構</w:t>
      </w:r>
      <w:r w:rsidRPr="00B453B2">
        <w:rPr>
          <w:rFonts w:hAnsi="標楷體"/>
          <w:color w:val="auto"/>
          <w:sz w:val="28"/>
          <w:szCs w:val="28"/>
        </w:rPr>
        <w:t>於訂定</w:t>
      </w:r>
      <w:r w:rsidR="00806344" w:rsidRPr="00B453B2">
        <w:rPr>
          <w:rFonts w:hAnsi="標楷體"/>
          <w:color w:val="auto"/>
          <w:sz w:val="28"/>
          <w:szCs w:val="28"/>
        </w:rPr>
        <w:t>計畫時有所依循，爰</w:t>
      </w:r>
      <w:r w:rsidR="00426A28" w:rsidRPr="00B453B2">
        <w:rPr>
          <w:rFonts w:hAnsi="標楷體" w:hint="eastAsia"/>
          <w:sz w:val="28"/>
          <w:szCs w:val="28"/>
        </w:rPr>
        <w:t>訂定</w:t>
      </w:r>
      <w:r w:rsidRPr="00B453B2">
        <w:rPr>
          <w:rFonts w:hAnsi="標楷體" w:hint="eastAsia"/>
          <w:color w:val="auto"/>
          <w:sz w:val="28"/>
          <w:szCs w:val="28"/>
        </w:rPr>
        <w:t>運動彩券業個人資料</w:t>
      </w:r>
      <w:r w:rsidRPr="00B453B2">
        <w:rPr>
          <w:rFonts w:hAnsi="標楷體"/>
          <w:color w:val="auto"/>
          <w:sz w:val="28"/>
          <w:szCs w:val="28"/>
        </w:rPr>
        <w:t>檔案安全維護計畫實施辦法</w:t>
      </w:r>
      <w:r w:rsidRPr="00B453B2">
        <w:rPr>
          <w:rFonts w:hAnsi="標楷體" w:hint="eastAsia"/>
          <w:color w:val="auto"/>
          <w:sz w:val="28"/>
          <w:szCs w:val="28"/>
        </w:rPr>
        <w:t>(</w:t>
      </w:r>
      <w:r w:rsidRPr="00B453B2">
        <w:rPr>
          <w:rFonts w:hAnsi="標楷體"/>
          <w:color w:val="auto"/>
          <w:sz w:val="28"/>
          <w:szCs w:val="28"/>
        </w:rPr>
        <w:t>以下簡稱本辦法</w:t>
      </w:r>
      <w:r w:rsidRPr="00B453B2">
        <w:rPr>
          <w:rFonts w:hAnsi="標楷體" w:hint="eastAsia"/>
          <w:color w:val="auto"/>
          <w:sz w:val="28"/>
          <w:szCs w:val="28"/>
        </w:rPr>
        <w:t>)</w:t>
      </w:r>
      <w:r w:rsidRPr="00B453B2">
        <w:rPr>
          <w:rFonts w:hAnsi="標楷體"/>
          <w:color w:val="auto"/>
          <w:sz w:val="28"/>
          <w:szCs w:val="28"/>
        </w:rPr>
        <w:t>，其要點如</w:t>
      </w:r>
      <w:r w:rsidR="00806344" w:rsidRPr="00B453B2">
        <w:rPr>
          <w:rFonts w:hAnsi="標楷體" w:hint="eastAsia"/>
          <w:color w:val="auto"/>
          <w:sz w:val="28"/>
          <w:szCs w:val="28"/>
        </w:rPr>
        <w:t>下</w:t>
      </w:r>
      <w:r w:rsidRPr="00B453B2">
        <w:rPr>
          <w:rFonts w:hAnsi="標楷體"/>
          <w:color w:val="auto"/>
          <w:sz w:val="28"/>
          <w:szCs w:val="28"/>
        </w:rPr>
        <w:t>：</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一、</w:t>
      </w:r>
      <w:r w:rsidR="00806344" w:rsidRPr="00B453B2">
        <w:rPr>
          <w:rFonts w:ascii="標楷體" w:eastAsia="標楷體" w:hAnsi="標楷體" w:cs="標楷體" w:hint="eastAsia"/>
          <w:kern w:val="0"/>
          <w:sz w:val="28"/>
          <w:szCs w:val="28"/>
        </w:rPr>
        <w:t>本辦法之</w:t>
      </w:r>
      <w:r w:rsidRPr="00B453B2">
        <w:rPr>
          <w:rFonts w:ascii="標楷體" w:eastAsia="標楷體" w:hAnsi="標楷體" w:cs="標楷體" w:hint="eastAsia"/>
          <w:kern w:val="0"/>
          <w:sz w:val="28"/>
          <w:szCs w:val="28"/>
        </w:rPr>
        <w:t>法源依據。</w:t>
      </w:r>
      <w:r w:rsidR="004936A4" w:rsidRPr="00B453B2">
        <w:rPr>
          <w:rFonts w:ascii="標楷體" w:eastAsia="標楷體" w:hAnsi="標楷體" w:cs="標楷體"/>
          <w:kern w:val="0"/>
          <w:sz w:val="28"/>
          <w:szCs w:val="28"/>
        </w:rPr>
        <w:t>(</w:t>
      </w:r>
      <w:r w:rsidRPr="00B453B2">
        <w:rPr>
          <w:rFonts w:ascii="標楷體" w:eastAsia="標楷體" w:hAnsi="標楷體" w:cs="標楷體" w:hint="eastAsia"/>
          <w:kern w:val="0"/>
          <w:sz w:val="28"/>
          <w:szCs w:val="28"/>
        </w:rPr>
        <w:t>第一條</w:t>
      </w:r>
      <w:r w:rsidR="00113877" w:rsidRPr="00B453B2">
        <w:rPr>
          <w:rFonts w:ascii="標楷體" w:eastAsia="標楷體" w:hAnsi="標楷體" w:cs="標楷體"/>
          <w:kern w:val="0"/>
          <w:sz w:val="28"/>
          <w:szCs w:val="28"/>
        </w:rPr>
        <w:t>）</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二、本辦法之主管機關。</w:t>
      </w:r>
      <w:r w:rsidR="004936A4" w:rsidRPr="00B453B2">
        <w:rPr>
          <w:rFonts w:ascii="標楷體" w:eastAsia="標楷體" w:hAnsi="標楷體" w:cs="標楷體"/>
          <w:kern w:val="0"/>
          <w:sz w:val="28"/>
          <w:szCs w:val="28"/>
        </w:rPr>
        <w:t>(</w:t>
      </w:r>
      <w:r w:rsidRPr="00B453B2">
        <w:rPr>
          <w:rFonts w:ascii="標楷體" w:eastAsia="標楷體" w:hAnsi="標楷體" w:cs="標楷體" w:hint="eastAsia"/>
          <w:kern w:val="0"/>
          <w:sz w:val="28"/>
          <w:szCs w:val="28"/>
        </w:rPr>
        <w:t>第二條</w:t>
      </w:r>
      <w:r w:rsidRPr="00B453B2">
        <w:rPr>
          <w:rFonts w:ascii="標楷體" w:eastAsia="標楷體" w:hAnsi="標楷體" w:cs="標楷體"/>
          <w:kern w:val="0"/>
          <w:sz w:val="28"/>
          <w:szCs w:val="28"/>
        </w:rPr>
        <w:t>)</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三、運動彩券業</w:t>
      </w:r>
      <w:r w:rsidR="00D24BAC" w:rsidRPr="00B453B2">
        <w:rPr>
          <w:rFonts w:ascii="標楷體" w:eastAsia="標楷體" w:hAnsi="標楷體" w:cs="標楷體" w:hint="eastAsia"/>
          <w:kern w:val="0"/>
          <w:sz w:val="28"/>
          <w:szCs w:val="28"/>
        </w:rPr>
        <w:t>應訂定計畫</w:t>
      </w:r>
      <w:r w:rsidR="00806344" w:rsidRPr="00B453B2">
        <w:rPr>
          <w:rFonts w:ascii="標楷體" w:eastAsia="標楷體" w:hAnsi="標楷體" w:cs="標楷體" w:hint="eastAsia"/>
          <w:kern w:val="0"/>
          <w:sz w:val="28"/>
          <w:szCs w:val="28"/>
        </w:rPr>
        <w:t>及</w:t>
      </w:r>
      <w:r w:rsidR="00D24BAC" w:rsidRPr="00B453B2">
        <w:rPr>
          <w:rFonts w:ascii="標楷體" w:eastAsia="標楷體" w:hAnsi="標楷體" w:cs="標楷體" w:hint="eastAsia"/>
          <w:kern w:val="0"/>
          <w:sz w:val="28"/>
          <w:szCs w:val="28"/>
        </w:rPr>
        <w:t>本辦法適用</w:t>
      </w:r>
      <w:r w:rsidR="00806344" w:rsidRPr="00B453B2">
        <w:rPr>
          <w:rFonts w:ascii="標楷體" w:eastAsia="標楷體" w:hAnsi="標楷體" w:cs="標楷體" w:hint="eastAsia"/>
          <w:kern w:val="0"/>
          <w:sz w:val="28"/>
          <w:szCs w:val="28"/>
        </w:rPr>
        <w:t>之</w:t>
      </w:r>
      <w:r w:rsidR="00D24BAC" w:rsidRPr="00B453B2">
        <w:rPr>
          <w:rFonts w:ascii="標楷體" w:eastAsia="標楷體" w:hAnsi="標楷體" w:cs="標楷體" w:hint="eastAsia"/>
          <w:kern w:val="0"/>
          <w:sz w:val="28"/>
          <w:szCs w:val="28"/>
        </w:rPr>
        <w:t>對象。</w:t>
      </w:r>
      <w:r w:rsidRPr="00B453B2">
        <w:rPr>
          <w:rFonts w:ascii="標楷體" w:eastAsia="標楷體" w:hAnsi="標楷體" w:cs="標楷體"/>
          <w:kern w:val="0"/>
          <w:sz w:val="28"/>
          <w:szCs w:val="28"/>
        </w:rPr>
        <w:t>(</w:t>
      </w:r>
      <w:r w:rsidRPr="00B453B2">
        <w:rPr>
          <w:rFonts w:ascii="標楷體" w:eastAsia="標楷體" w:hAnsi="標楷體" w:cs="標楷體" w:hint="eastAsia"/>
          <w:kern w:val="0"/>
          <w:sz w:val="28"/>
          <w:szCs w:val="28"/>
        </w:rPr>
        <w:t>第三條</w:t>
      </w:r>
      <w:r w:rsidRPr="00B453B2">
        <w:rPr>
          <w:rFonts w:ascii="標楷體" w:eastAsia="標楷體" w:hAnsi="標楷體" w:cs="標楷體"/>
          <w:kern w:val="0"/>
          <w:sz w:val="28"/>
          <w:szCs w:val="28"/>
        </w:rPr>
        <w:t>)</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四、運動彩券業訂定計畫時，應訂定適當之安全維護措施。</w:t>
      </w:r>
      <w:r w:rsidRPr="00B453B2">
        <w:rPr>
          <w:rFonts w:ascii="標楷體" w:eastAsia="標楷體" w:hAnsi="標楷體" w:cs="標楷體"/>
          <w:kern w:val="0"/>
          <w:sz w:val="28"/>
          <w:szCs w:val="28"/>
        </w:rPr>
        <w:t>(</w:t>
      </w:r>
      <w:r w:rsidRPr="00B453B2">
        <w:rPr>
          <w:rFonts w:ascii="標楷體" w:eastAsia="標楷體" w:hAnsi="標楷體" w:cs="標楷體" w:hint="eastAsia"/>
          <w:kern w:val="0"/>
          <w:sz w:val="28"/>
          <w:szCs w:val="28"/>
        </w:rPr>
        <w:t>第四條</w:t>
      </w:r>
      <w:r w:rsidRPr="00B453B2">
        <w:rPr>
          <w:rFonts w:ascii="標楷體" w:eastAsia="標楷體" w:hAnsi="標楷體" w:cs="標楷體"/>
          <w:kern w:val="0"/>
          <w:sz w:val="28"/>
          <w:szCs w:val="28"/>
        </w:rPr>
        <w:t>)</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五、運動彩券業應完成計畫訂定之期程及報主管機關備查。（第五條）</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六、運動彩券業應指定專責人員負責個人資料檔案安全維護之相關任務。</w:t>
      </w:r>
      <w:r w:rsidRPr="00B453B2">
        <w:rPr>
          <w:rFonts w:ascii="標楷體" w:eastAsia="標楷體" w:hAnsi="標楷體" w:cs="標楷體"/>
          <w:kern w:val="0"/>
          <w:sz w:val="28"/>
          <w:szCs w:val="28"/>
        </w:rPr>
        <w:t>(</w:t>
      </w:r>
      <w:r w:rsidRPr="00B453B2">
        <w:rPr>
          <w:rFonts w:ascii="標楷體" w:eastAsia="標楷體" w:hAnsi="標楷體" w:cs="標楷體" w:hint="eastAsia"/>
          <w:kern w:val="0"/>
          <w:sz w:val="28"/>
          <w:szCs w:val="28"/>
        </w:rPr>
        <w:t>第六條</w:t>
      </w:r>
      <w:r w:rsidRPr="00B453B2">
        <w:rPr>
          <w:rFonts w:ascii="標楷體" w:eastAsia="標楷體" w:hAnsi="標楷體" w:cs="標楷體"/>
          <w:kern w:val="0"/>
          <w:sz w:val="28"/>
          <w:szCs w:val="28"/>
        </w:rPr>
        <w:t>)</w:t>
      </w:r>
    </w:p>
    <w:p w:rsidR="00F24D4B" w:rsidRPr="00B453B2" w:rsidRDefault="00F24D4B" w:rsidP="006C10FD">
      <w:pPr>
        <w:pStyle w:val="Default"/>
        <w:spacing w:line="460" w:lineRule="exact"/>
        <w:ind w:left="560" w:hangingChars="200" w:hanging="560"/>
        <w:jc w:val="both"/>
        <w:rPr>
          <w:rFonts w:hAnsi="標楷體"/>
          <w:color w:val="auto"/>
          <w:sz w:val="28"/>
          <w:szCs w:val="28"/>
        </w:rPr>
      </w:pPr>
      <w:r w:rsidRPr="00B453B2">
        <w:rPr>
          <w:rFonts w:hAnsi="標楷體" w:hint="eastAsia"/>
          <w:color w:val="auto"/>
          <w:sz w:val="28"/>
          <w:szCs w:val="28"/>
        </w:rPr>
        <w:t>七、運動彩券業所保有之個人資料，經定期檢視，應予刪除、銷毀或停止蒐集、處理及利用之情形。</w:t>
      </w:r>
      <w:r w:rsidRPr="00B453B2">
        <w:rPr>
          <w:rFonts w:hAnsi="標楷體"/>
          <w:color w:val="auto"/>
          <w:sz w:val="28"/>
          <w:szCs w:val="28"/>
        </w:rPr>
        <w:t>(</w:t>
      </w:r>
      <w:r w:rsidRPr="00B453B2">
        <w:rPr>
          <w:rFonts w:hAnsi="標楷體" w:hint="eastAsia"/>
          <w:color w:val="auto"/>
          <w:sz w:val="28"/>
          <w:szCs w:val="28"/>
        </w:rPr>
        <w:t>第七條</w:t>
      </w:r>
      <w:r w:rsidRPr="00B453B2">
        <w:rPr>
          <w:rFonts w:hAnsi="標楷體"/>
          <w:color w:val="auto"/>
          <w:sz w:val="28"/>
          <w:szCs w:val="28"/>
        </w:rPr>
        <w:t>)</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八、運動彩券業蒐集及傳輸個人資料時應符合之規定。</w:t>
      </w:r>
      <w:r w:rsidRPr="00B453B2">
        <w:rPr>
          <w:rFonts w:ascii="標楷體" w:eastAsia="標楷體" w:hAnsi="標楷體" w:cs="標楷體"/>
          <w:kern w:val="0"/>
          <w:sz w:val="28"/>
          <w:szCs w:val="28"/>
        </w:rPr>
        <w:t>(</w:t>
      </w:r>
      <w:r w:rsidRPr="00B453B2">
        <w:rPr>
          <w:rFonts w:ascii="標楷體" w:eastAsia="標楷體" w:hAnsi="標楷體" w:cs="標楷體" w:hint="eastAsia"/>
          <w:kern w:val="0"/>
          <w:sz w:val="28"/>
          <w:szCs w:val="28"/>
        </w:rPr>
        <w:t>第八條</w:t>
      </w:r>
      <w:r w:rsidRPr="00B453B2">
        <w:rPr>
          <w:rFonts w:ascii="標楷體" w:eastAsia="標楷體" w:hAnsi="標楷體" w:cs="標楷體"/>
          <w:kern w:val="0"/>
          <w:sz w:val="28"/>
          <w:szCs w:val="28"/>
        </w:rPr>
        <w:t>)</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九、運動彩券業應依已界定之個人資料範圍與蒐集、處理及利用流程，訂定適當管控措施。（第九條）</w:t>
      </w:r>
    </w:p>
    <w:p w:rsidR="00F24D4B" w:rsidRPr="00B453B2" w:rsidRDefault="00F24D4B" w:rsidP="006C10FD">
      <w:pPr>
        <w:autoSpaceDE w:val="0"/>
        <w:autoSpaceDN w:val="0"/>
        <w:adjustRightInd w:val="0"/>
        <w:spacing w:line="460" w:lineRule="exact"/>
        <w:ind w:left="560" w:hangingChars="200" w:hanging="56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十、運動彩券業蒐集個人資料應遵守之告知義務。（第十條）</w:t>
      </w:r>
    </w:p>
    <w:p w:rsidR="00F24D4B" w:rsidRPr="00B453B2" w:rsidRDefault="00F24D4B"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十一、運動彩券業利用個人資料行銷時，應提供當事人拒絕機制及應遵守事項。</w:t>
      </w:r>
      <w:r w:rsidRPr="00B453B2">
        <w:rPr>
          <w:rFonts w:ascii="標楷體" w:eastAsia="標楷體" w:hAnsi="標楷體" w:cs="標楷體"/>
          <w:kern w:val="0"/>
          <w:sz w:val="28"/>
          <w:szCs w:val="28"/>
        </w:rPr>
        <w:t>(</w:t>
      </w:r>
      <w:r w:rsidRPr="00B453B2">
        <w:rPr>
          <w:rFonts w:ascii="標楷體" w:eastAsia="標楷體" w:hAnsi="標楷體" w:cs="標楷體" w:hint="eastAsia"/>
          <w:kern w:val="0"/>
          <w:sz w:val="28"/>
          <w:szCs w:val="28"/>
        </w:rPr>
        <w:t>第十一條</w:t>
      </w:r>
      <w:r w:rsidRPr="00B453B2">
        <w:rPr>
          <w:rFonts w:ascii="標楷體" w:eastAsia="標楷體" w:hAnsi="標楷體" w:cs="標楷體"/>
          <w:kern w:val="0"/>
          <w:sz w:val="28"/>
          <w:szCs w:val="28"/>
        </w:rPr>
        <w:t>)</w:t>
      </w:r>
    </w:p>
    <w:p w:rsidR="00F24D4B" w:rsidRPr="00B453B2" w:rsidRDefault="00F24D4B"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十二、運動彩券業對於當事人行使本法第三條規定之權利，得採行之辦</w:t>
      </w:r>
      <w:r w:rsidRPr="00B453B2">
        <w:rPr>
          <w:rFonts w:ascii="標楷體" w:eastAsia="標楷體" w:hAnsi="標楷體" w:cs="標楷體" w:hint="eastAsia"/>
          <w:kern w:val="0"/>
          <w:sz w:val="28"/>
          <w:szCs w:val="28"/>
        </w:rPr>
        <w:lastRenderedPageBreak/>
        <w:t>理方式。</w:t>
      </w:r>
      <w:r w:rsidRPr="00B453B2">
        <w:rPr>
          <w:rFonts w:ascii="標楷體" w:eastAsia="標楷體" w:hAnsi="標楷體" w:cs="標楷體"/>
          <w:kern w:val="0"/>
          <w:sz w:val="28"/>
          <w:szCs w:val="28"/>
        </w:rPr>
        <w:t>(</w:t>
      </w:r>
      <w:r w:rsidRPr="00B453B2">
        <w:rPr>
          <w:rFonts w:ascii="標楷體" w:eastAsia="標楷體" w:hAnsi="標楷體" w:cs="標楷體" w:hint="eastAsia"/>
          <w:kern w:val="0"/>
          <w:sz w:val="28"/>
          <w:szCs w:val="28"/>
        </w:rPr>
        <w:t>第十二條</w:t>
      </w:r>
      <w:r w:rsidRPr="00B453B2">
        <w:rPr>
          <w:rFonts w:ascii="標楷體" w:eastAsia="標楷體" w:hAnsi="標楷體" w:cs="標楷體"/>
          <w:kern w:val="0"/>
          <w:sz w:val="28"/>
          <w:szCs w:val="28"/>
        </w:rPr>
        <w:t>)</w:t>
      </w:r>
    </w:p>
    <w:p w:rsidR="00F24D4B" w:rsidRPr="00B453B2" w:rsidRDefault="00F24D4B"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十三、運動彩券業應訂定應變機制及通報主管機關之義務。（第十三條）</w:t>
      </w:r>
    </w:p>
    <w:p w:rsidR="00F24D4B" w:rsidRPr="00B453B2" w:rsidRDefault="00F24D4B"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十四、運動彩券業應設置必要之安全設備及採取必要之防護措施。（第十四條）</w:t>
      </w:r>
    </w:p>
    <w:p w:rsidR="00F24D4B" w:rsidRPr="00B453B2" w:rsidRDefault="00F24D4B"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十五、運動彩券業應對其所屬人員採取之措施。（第十五條）</w:t>
      </w:r>
    </w:p>
    <w:p w:rsidR="00F24D4B" w:rsidRPr="00B453B2" w:rsidRDefault="00C870D7"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shd w:val="pct15" w:color="auto" w:fill="FFFFFF"/>
        </w:rPr>
      </w:pPr>
      <w:r w:rsidRPr="00B453B2">
        <w:rPr>
          <w:rFonts w:ascii="標楷體" w:eastAsia="標楷體" w:hAnsi="標楷體" w:cs="標楷體" w:hint="eastAsia"/>
          <w:kern w:val="0"/>
          <w:sz w:val="28"/>
          <w:szCs w:val="28"/>
        </w:rPr>
        <w:t>十六、運動彩券業</w:t>
      </w:r>
      <w:r w:rsidR="008C776D" w:rsidRPr="00B453B2">
        <w:rPr>
          <w:rFonts w:ascii="標楷體" w:eastAsia="標楷體" w:hAnsi="標楷體" w:hint="eastAsia"/>
          <w:sz w:val="28"/>
          <w:szCs w:val="28"/>
        </w:rPr>
        <w:t>提供電子商務服務系統時，應採取之資訊安全措施。</w:t>
      </w:r>
      <w:r w:rsidR="00F24D4B" w:rsidRPr="00B453B2">
        <w:rPr>
          <w:rFonts w:ascii="標楷體" w:eastAsia="標楷體" w:hAnsi="標楷體" w:cs="標楷體" w:hint="eastAsia"/>
          <w:kern w:val="0"/>
          <w:sz w:val="28"/>
          <w:szCs w:val="28"/>
        </w:rPr>
        <w:t>(第十六條)</w:t>
      </w:r>
    </w:p>
    <w:p w:rsidR="00F24D4B" w:rsidRPr="00B453B2" w:rsidRDefault="00C870D7"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十七</w:t>
      </w:r>
      <w:r w:rsidR="00F24D4B" w:rsidRPr="00B453B2">
        <w:rPr>
          <w:rFonts w:ascii="標楷體" w:eastAsia="標楷體" w:hAnsi="標楷體" w:cs="標楷體" w:hint="eastAsia"/>
          <w:kern w:val="0"/>
          <w:sz w:val="28"/>
          <w:szCs w:val="28"/>
        </w:rPr>
        <w:t>、運動彩券業應訂定個人資料檔案安全維護查核機制並納入其內部控制及稽核制度。（第十七條）</w:t>
      </w:r>
    </w:p>
    <w:p w:rsidR="00F24D4B" w:rsidRPr="00B453B2" w:rsidRDefault="00C870D7"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十八</w:t>
      </w:r>
      <w:r w:rsidR="00F24D4B" w:rsidRPr="00B453B2">
        <w:rPr>
          <w:rFonts w:ascii="標楷體" w:eastAsia="標楷體" w:hAnsi="標楷體" w:cs="標楷體" w:hint="eastAsia"/>
          <w:kern w:val="0"/>
          <w:sz w:val="28"/>
          <w:szCs w:val="28"/>
        </w:rPr>
        <w:t>、運動彩券業應留存個人資料使用紀錄、自動化機器設備之軌跡資料。（第十八條）</w:t>
      </w:r>
    </w:p>
    <w:p w:rsidR="00F24D4B" w:rsidRPr="00B453B2" w:rsidRDefault="00C870D7"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十九</w:t>
      </w:r>
      <w:r w:rsidR="00F24D4B" w:rsidRPr="00B453B2">
        <w:rPr>
          <w:rFonts w:ascii="標楷體" w:eastAsia="標楷體" w:hAnsi="標楷體" w:cs="標楷體" w:hint="eastAsia"/>
          <w:kern w:val="0"/>
          <w:sz w:val="28"/>
          <w:szCs w:val="28"/>
        </w:rPr>
        <w:t>、運動彩券業應定期或不定期對其所屬人員施以個人資料保護相關法令規定之教育訓練或宣導。（第十九條）</w:t>
      </w:r>
    </w:p>
    <w:p w:rsidR="00F24D4B" w:rsidRPr="00B453B2" w:rsidRDefault="00C870D7" w:rsidP="006C10FD">
      <w:pPr>
        <w:autoSpaceDE w:val="0"/>
        <w:autoSpaceDN w:val="0"/>
        <w:adjustRightInd w:val="0"/>
        <w:spacing w:line="460" w:lineRule="exact"/>
        <w:ind w:left="840" w:hangingChars="300" w:hanging="840"/>
        <w:jc w:val="both"/>
        <w:rPr>
          <w:rFonts w:ascii="標楷體" w:eastAsia="標楷體" w:hAnsi="標楷體" w:cs="標楷體"/>
          <w:kern w:val="0"/>
          <w:sz w:val="28"/>
          <w:szCs w:val="28"/>
        </w:rPr>
      </w:pPr>
      <w:r w:rsidRPr="00B453B2">
        <w:rPr>
          <w:rFonts w:ascii="標楷體" w:eastAsia="標楷體" w:hAnsi="標楷體" w:cs="標楷體" w:hint="eastAsia"/>
          <w:kern w:val="0"/>
          <w:sz w:val="28"/>
          <w:szCs w:val="28"/>
        </w:rPr>
        <w:t>二十</w:t>
      </w:r>
      <w:r w:rsidR="00F24D4B" w:rsidRPr="00B453B2">
        <w:rPr>
          <w:rFonts w:ascii="標楷體" w:eastAsia="標楷體" w:hAnsi="標楷體" w:cs="標楷體" w:hint="eastAsia"/>
          <w:kern w:val="0"/>
          <w:sz w:val="28"/>
          <w:szCs w:val="28"/>
        </w:rPr>
        <w:t>、運動彩券業業務終止後，對其保有之個人資料之處理方法及留存紀錄。（第</w:t>
      </w:r>
      <w:r w:rsidR="00F24D4B" w:rsidRPr="00B453B2">
        <w:rPr>
          <w:rFonts w:ascii="標楷體" w:eastAsia="標楷體" w:hAnsi="標楷體" w:hint="eastAsia"/>
          <w:sz w:val="28"/>
          <w:szCs w:val="28"/>
        </w:rPr>
        <w:t>二十</w:t>
      </w:r>
      <w:r w:rsidR="00F24D4B" w:rsidRPr="00B453B2">
        <w:rPr>
          <w:rFonts w:ascii="標楷體" w:eastAsia="標楷體" w:hAnsi="標楷體" w:cs="標楷體" w:hint="eastAsia"/>
          <w:kern w:val="0"/>
          <w:sz w:val="28"/>
          <w:szCs w:val="28"/>
        </w:rPr>
        <w:t>條）</w:t>
      </w:r>
    </w:p>
    <w:p w:rsidR="0020433A" w:rsidRPr="00B453B2" w:rsidRDefault="00F24D4B" w:rsidP="006C10FD">
      <w:pPr>
        <w:pStyle w:val="Default"/>
        <w:spacing w:line="460" w:lineRule="exact"/>
        <w:ind w:left="1134" w:hangingChars="405" w:hanging="1134"/>
        <w:jc w:val="both"/>
        <w:rPr>
          <w:rFonts w:hAnsi="標楷體"/>
          <w:b/>
          <w:sz w:val="32"/>
          <w:szCs w:val="32"/>
        </w:rPr>
      </w:pPr>
      <w:r w:rsidRPr="00B453B2">
        <w:rPr>
          <w:rFonts w:hAnsi="標楷體" w:hint="eastAsia"/>
          <w:color w:val="auto"/>
          <w:sz w:val="28"/>
          <w:szCs w:val="28"/>
        </w:rPr>
        <w:t>二十</w:t>
      </w:r>
      <w:r w:rsidR="00C870D7" w:rsidRPr="00B453B2">
        <w:rPr>
          <w:rFonts w:hAnsi="標楷體" w:hint="eastAsia"/>
          <w:color w:val="auto"/>
          <w:sz w:val="28"/>
          <w:szCs w:val="28"/>
        </w:rPr>
        <w:t>一</w:t>
      </w:r>
      <w:r w:rsidRPr="00B453B2">
        <w:rPr>
          <w:rFonts w:hAnsi="標楷體" w:hint="eastAsia"/>
          <w:color w:val="auto"/>
          <w:sz w:val="28"/>
          <w:szCs w:val="28"/>
        </w:rPr>
        <w:t>、運動彩券業應檢視所定計畫之合宜性，以持續改進個人資料保護機制。</w:t>
      </w:r>
      <w:r w:rsidRPr="00B453B2">
        <w:rPr>
          <w:rFonts w:hAnsi="標楷體"/>
          <w:color w:val="auto"/>
          <w:sz w:val="28"/>
          <w:szCs w:val="28"/>
        </w:rPr>
        <w:t>(</w:t>
      </w:r>
      <w:r w:rsidRPr="00B453B2">
        <w:rPr>
          <w:rFonts w:hAnsi="標楷體" w:hint="eastAsia"/>
          <w:color w:val="auto"/>
          <w:sz w:val="28"/>
          <w:szCs w:val="28"/>
        </w:rPr>
        <w:t>第二十一條</w:t>
      </w:r>
      <w:r w:rsidRPr="00B453B2">
        <w:rPr>
          <w:rFonts w:hAnsi="標楷體"/>
          <w:color w:val="auto"/>
          <w:sz w:val="28"/>
          <w:szCs w:val="28"/>
        </w:rPr>
        <w:t>)</w:t>
      </w:r>
    </w:p>
    <w:p w:rsidR="00AD56D1" w:rsidRPr="009D4DBA" w:rsidRDefault="00AD56D1" w:rsidP="009D4DBA">
      <w:pPr>
        <w:widowControl/>
        <w:jc w:val="both"/>
        <w:rPr>
          <w:rFonts w:ascii="標楷體" w:eastAsia="標楷體" w:hAnsi="標楷體"/>
          <w:b/>
          <w:sz w:val="32"/>
          <w:szCs w:val="32"/>
        </w:rPr>
      </w:pPr>
      <w:bookmarkStart w:id="0" w:name="_GoBack"/>
      <w:bookmarkEnd w:id="0"/>
    </w:p>
    <w:sectPr w:rsidR="00AD56D1" w:rsidRPr="009D4DBA" w:rsidSect="006A06A7">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48" w:rsidRDefault="00A52648" w:rsidP="009D2EAF">
      <w:r>
        <w:separator/>
      </w:r>
    </w:p>
  </w:endnote>
  <w:endnote w:type="continuationSeparator" w:id="0">
    <w:p w:rsidR="00A52648" w:rsidRDefault="00A52648" w:rsidP="009D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038792"/>
      <w:docPartObj>
        <w:docPartGallery w:val="Page Numbers (Bottom of Page)"/>
        <w:docPartUnique/>
      </w:docPartObj>
    </w:sdtPr>
    <w:sdtEndPr/>
    <w:sdtContent>
      <w:p w:rsidR="005B55CA" w:rsidRDefault="00BA2F66">
        <w:pPr>
          <w:pStyle w:val="a5"/>
          <w:jc w:val="center"/>
        </w:pPr>
        <w:r>
          <w:fldChar w:fldCharType="begin"/>
        </w:r>
        <w:r w:rsidR="00702156">
          <w:instrText>PAGE   \* MERGEFORMAT</w:instrText>
        </w:r>
        <w:r>
          <w:fldChar w:fldCharType="separate"/>
        </w:r>
        <w:r w:rsidR="009D4DBA" w:rsidRPr="009D4DBA">
          <w:rPr>
            <w:noProof/>
            <w:lang w:val="zh-TW"/>
          </w:rPr>
          <w:t>2</w:t>
        </w:r>
        <w:r>
          <w:rPr>
            <w:noProof/>
            <w:lang w:val="zh-TW"/>
          </w:rPr>
          <w:fldChar w:fldCharType="end"/>
        </w:r>
      </w:p>
    </w:sdtContent>
  </w:sdt>
  <w:p w:rsidR="005B55CA" w:rsidRDefault="005B55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48" w:rsidRDefault="00A52648" w:rsidP="009D2EAF">
      <w:r>
        <w:separator/>
      </w:r>
    </w:p>
  </w:footnote>
  <w:footnote w:type="continuationSeparator" w:id="0">
    <w:p w:rsidR="00A52648" w:rsidRDefault="00A52648" w:rsidP="009D2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E80"/>
    <w:multiLevelType w:val="hybridMultilevel"/>
    <w:tmpl w:val="780CC9D6"/>
    <w:lvl w:ilvl="0" w:tplc="8FAC3676">
      <w:start w:val="1"/>
      <w:numFmt w:val="taiwaneseCountingThousand"/>
      <w:suff w:val="nothing"/>
      <w:lvlText w:val="%1、"/>
      <w:lvlJc w:val="left"/>
      <w:pPr>
        <w:ind w:left="600" w:hanging="360"/>
      </w:pPr>
      <w:rPr>
        <w:rFonts w:ascii="標楷體" w:eastAsia="標楷體" w:hAnsi="標楷體"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4F61A7"/>
    <w:multiLevelType w:val="hybridMultilevel"/>
    <w:tmpl w:val="6D90B7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D82E00"/>
    <w:multiLevelType w:val="hybridMultilevel"/>
    <w:tmpl w:val="0A9A3A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49193C"/>
    <w:multiLevelType w:val="hybridMultilevel"/>
    <w:tmpl w:val="8E2490D2"/>
    <w:lvl w:ilvl="0" w:tplc="D690E66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1A834E0"/>
    <w:multiLevelType w:val="hybridMultilevel"/>
    <w:tmpl w:val="C08C40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7E36B6"/>
    <w:multiLevelType w:val="hybridMultilevel"/>
    <w:tmpl w:val="148230C8"/>
    <w:lvl w:ilvl="0" w:tplc="A2BCAF6A">
      <w:start w:val="1"/>
      <w:numFmt w:val="taiwaneseCountingThousand"/>
      <w:suff w:val="nothing"/>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3D233216"/>
    <w:multiLevelType w:val="hybridMultilevel"/>
    <w:tmpl w:val="A26EEB10"/>
    <w:lvl w:ilvl="0" w:tplc="F0045D38">
      <w:start w:val="1"/>
      <w:numFmt w:val="taiwaneseCountingThousand"/>
      <w:suff w:val="nothing"/>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07E621F"/>
    <w:multiLevelType w:val="hybridMultilevel"/>
    <w:tmpl w:val="59188134"/>
    <w:lvl w:ilvl="0" w:tplc="638E9BA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677C6"/>
    <w:multiLevelType w:val="hybridMultilevel"/>
    <w:tmpl w:val="0AAA7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903D14"/>
    <w:multiLevelType w:val="hybridMultilevel"/>
    <w:tmpl w:val="3558C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EE40D1"/>
    <w:multiLevelType w:val="hybridMultilevel"/>
    <w:tmpl w:val="A8CC0D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CA2780"/>
    <w:multiLevelType w:val="hybridMultilevel"/>
    <w:tmpl w:val="FE3ABB92"/>
    <w:lvl w:ilvl="0" w:tplc="668A45F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7A6D6C53"/>
    <w:multiLevelType w:val="hybridMultilevel"/>
    <w:tmpl w:val="AFD6307E"/>
    <w:lvl w:ilvl="0" w:tplc="7D12B0F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12"/>
  </w:num>
  <w:num w:numId="3">
    <w:abstractNumId w:val="11"/>
  </w:num>
  <w:num w:numId="4">
    <w:abstractNumId w:val="7"/>
  </w:num>
  <w:num w:numId="5">
    <w:abstractNumId w:val="4"/>
  </w:num>
  <w:num w:numId="6">
    <w:abstractNumId w:val="0"/>
  </w:num>
  <w:num w:numId="7">
    <w:abstractNumId w:val="5"/>
  </w:num>
  <w:num w:numId="8">
    <w:abstractNumId w:val="6"/>
  </w:num>
  <w:num w:numId="9">
    <w:abstractNumId w:val="2"/>
  </w:num>
  <w:num w:numId="10">
    <w:abstractNumId w:val="9"/>
  </w:num>
  <w:num w:numId="11">
    <w:abstractNumId w:val="10"/>
  </w:num>
  <w:num w:numId="12">
    <w:abstractNumId w:val="8"/>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0C"/>
    <w:rsid w:val="00015E92"/>
    <w:rsid w:val="000552C1"/>
    <w:rsid w:val="000552DD"/>
    <w:rsid w:val="00074BEC"/>
    <w:rsid w:val="00077D0D"/>
    <w:rsid w:val="00093071"/>
    <w:rsid w:val="000A7DDE"/>
    <w:rsid w:val="0011138C"/>
    <w:rsid w:val="00113877"/>
    <w:rsid w:val="001249AC"/>
    <w:rsid w:val="00154692"/>
    <w:rsid w:val="00180EB5"/>
    <w:rsid w:val="00195111"/>
    <w:rsid w:val="001A2B77"/>
    <w:rsid w:val="0020433A"/>
    <w:rsid w:val="00232AF4"/>
    <w:rsid w:val="00242BED"/>
    <w:rsid w:val="00251C1F"/>
    <w:rsid w:val="00264175"/>
    <w:rsid w:val="002749D9"/>
    <w:rsid w:val="002D5428"/>
    <w:rsid w:val="002D7525"/>
    <w:rsid w:val="002E2398"/>
    <w:rsid w:val="0032075D"/>
    <w:rsid w:val="00351C38"/>
    <w:rsid w:val="00361C76"/>
    <w:rsid w:val="00362CD0"/>
    <w:rsid w:val="00371EA6"/>
    <w:rsid w:val="0037718B"/>
    <w:rsid w:val="003C483F"/>
    <w:rsid w:val="003E1BE8"/>
    <w:rsid w:val="003E3B5D"/>
    <w:rsid w:val="00402CDD"/>
    <w:rsid w:val="00426A28"/>
    <w:rsid w:val="00433D74"/>
    <w:rsid w:val="00435F1E"/>
    <w:rsid w:val="0044560D"/>
    <w:rsid w:val="00461828"/>
    <w:rsid w:val="004936A4"/>
    <w:rsid w:val="004A6F71"/>
    <w:rsid w:val="004B2293"/>
    <w:rsid w:val="004B5E0F"/>
    <w:rsid w:val="004C270F"/>
    <w:rsid w:val="004E199B"/>
    <w:rsid w:val="004E5CA3"/>
    <w:rsid w:val="0050006E"/>
    <w:rsid w:val="00506F94"/>
    <w:rsid w:val="0056210E"/>
    <w:rsid w:val="00565CB6"/>
    <w:rsid w:val="0057458F"/>
    <w:rsid w:val="005751DA"/>
    <w:rsid w:val="00576311"/>
    <w:rsid w:val="00581490"/>
    <w:rsid w:val="005B55CA"/>
    <w:rsid w:val="005B5AEC"/>
    <w:rsid w:val="005B669B"/>
    <w:rsid w:val="005B78C6"/>
    <w:rsid w:val="005C31CC"/>
    <w:rsid w:val="005D5F0E"/>
    <w:rsid w:val="005D65BD"/>
    <w:rsid w:val="005E10EE"/>
    <w:rsid w:val="006356BC"/>
    <w:rsid w:val="00642262"/>
    <w:rsid w:val="00647C6A"/>
    <w:rsid w:val="0065310D"/>
    <w:rsid w:val="00654F20"/>
    <w:rsid w:val="006A06A7"/>
    <w:rsid w:val="006A3F18"/>
    <w:rsid w:val="006C10FD"/>
    <w:rsid w:val="006D3F08"/>
    <w:rsid w:val="006E7BDA"/>
    <w:rsid w:val="006F47A7"/>
    <w:rsid w:val="006F6DA9"/>
    <w:rsid w:val="00702156"/>
    <w:rsid w:val="00702418"/>
    <w:rsid w:val="007A454C"/>
    <w:rsid w:val="007C2FD4"/>
    <w:rsid w:val="007F0CE4"/>
    <w:rsid w:val="00806344"/>
    <w:rsid w:val="0087768A"/>
    <w:rsid w:val="0088188C"/>
    <w:rsid w:val="008A7939"/>
    <w:rsid w:val="008C776D"/>
    <w:rsid w:val="00904F87"/>
    <w:rsid w:val="009459B0"/>
    <w:rsid w:val="009562E9"/>
    <w:rsid w:val="00961A0D"/>
    <w:rsid w:val="00991622"/>
    <w:rsid w:val="009C41DA"/>
    <w:rsid w:val="009D2EAF"/>
    <w:rsid w:val="009D4DBA"/>
    <w:rsid w:val="009E1E20"/>
    <w:rsid w:val="009E6440"/>
    <w:rsid w:val="00A41CBC"/>
    <w:rsid w:val="00A42905"/>
    <w:rsid w:val="00A52648"/>
    <w:rsid w:val="00A630A1"/>
    <w:rsid w:val="00A72298"/>
    <w:rsid w:val="00A80A8F"/>
    <w:rsid w:val="00A86002"/>
    <w:rsid w:val="00A97031"/>
    <w:rsid w:val="00AA2831"/>
    <w:rsid w:val="00AB10EB"/>
    <w:rsid w:val="00AD56D1"/>
    <w:rsid w:val="00AE1DAE"/>
    <w:rsid w:val="00AF450C"/>
    <w:rsid w:val="00B02721"/>
    <w:rsid w:val="00B13F09"/>
    <w:rsid w:val="00B453B2"/>
    <w:rsid w:val="00B5741D"/>
    <w:rsid w:val="00B67237"/>
    <w:rsid w:val="00B83F51"/>
    <w:rsid w:val="00B920E9"/>
    <w:rsid w:val="00B970EB"/>
    <w:rsid w:val="00BA2F66"/>
    <w:rsid w:val="00C0469F"/>
    <w:rsid w:val="00C21964"/>
    <w:rsid w:val="00C26798"/>
    <w:rsid w:val="00C465CA"/>
    <w:rsid w:val="00C870D7"/>
    <w:rsid w:val="00C97D61"/>
    <w:rsid w:val="00CB3D45"/>
    <w:rsid w:val="00CC6D43"/>
    <w:rsid w:val="00CD46E3"/>
    <w:rsid w:val="00D00D47"/>
    <w:rsid w:val="00D13A8F"/>
    <w:rsid w:val="00D20413"/>
    <w:rsid w:val="00D2205B"/>
    <w:rsid w:val="00D24BAC"/>
    <w:rsid w:val="00D32926"/>
    <w:rsid w:val="00D43870"/>
    <w:rsid w:val="00D4548B"/>
    <w:rsid w:val="00D64F2A"/>
    <w:rsid w:val="00DA0CC8"/>
    <w:rsid w:val="00DB18EA"/>
    <w:rsid w:val="00DC17BA"/>
    <w:rsid w:val="00DC5DB0"/>
    <w:rsid w:val="00DE2E3D"/>
    <w:rsid w:val="00DF634E"/>
    <w:rsid w:val="00E01887"/>
    <w:rsid w:val="00E25108"/>
    <w:rsid w:val="00E44B54"/>
    <w:rsid w:val="00E67E0C"/>
    <w:rsid w:val="00E700BE"/>
    <w:rsid w:val="00EB63DC"/>
    <w:rsid w:val="00EC0F6F"/>
    <w:rsid w:val="00EE1EB2"/>
    <w:rsid w:val="00EE3539"/>
    <w:rsid w:val="00EF42C6"/>
    <w:rsid w:val="00F0681A"/>
    <w:rsid w:val="00F24D4B"/>
    <w:rsid w:val="00F3229D"/>
    <w:rsid w:val="00F53236"/>
    <w:rsid w:val="00F63B7D"/>
    <w:rsid w:val="00F655A1"/>
    <w:rsid w:val="00F82855"/>
    <w:rsid w:val="00F91431"/>
    <w:rsid w:val="00FB413F"/>
    <w:rsid w:val="00FB44DC"/>
    <w:rsid w:val="00FD5B61"/>
    <w:rsid w:val="00FE2B6E"/>
    <w:rsid w:val="00FE3715"/>
    <w:rsid w:val="00FE4B06"/>
    <w:rsid w:val="00FE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450C"/>
    <w:pPr>
      <w:ind w:leftChars="200" w:left="480"/>
    </w:pPr>
  </w:style>
  <w:style w:type="paragraph" w:customStyle="1" w:styleId="Default">
    <w:name w:val="Default"/>
    <w:rsid w:val="00AF450C"/>
    <w:pPr>
      <w:widowControl w:val="0"/>
      <w:autoSpaceDE w:val="0"/>
      <w:autoSpaceDN w:val="0"/>
      <w:adjustRightInd w:val="0"/>
    </w:pPr>
    <w:rPr>
      <w:rFonts w:ascii="標楷體" w:eastAsia="標楷體" w:cs="標楷體"/>
      <w:color w:val="000000"/>
      <w:kern w:val="0"/>
      <w:szCs w:val="24"/>
    </w:rPr>
  </w:style>
  <w:style w:type="paragraph" w:styleId="a5">
    <w:name w:val="footer"/>
    <w:basedOn w:val="a"/>
    <w:link w:val="a6"/>
    <w:uiPriority w:val="99"/>
    <w:rsid w:val="00DB18EA"/>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DB18EA"/>
    <w:rPr>
      <w:rFonts w:ascii="Times New Roman" w:eastAsia="新細明體" w:hAnsi="Times New Roman" w:cs="Times New Roman"/>
      <w:sz w:val="20"/>
      <w:szCs w:val="20"/>
    </w:rPr>
  </w:style>
  <w:style w:type="paragraph" w:styleId="a7">
    <w:name w:val="header"/>
    <w:basedOn w:val="a"/>
    <w:link w:val="a8"/>
    <w:uiPriority w:val="99"/>
    <w:unhideWhenUsed/>
    <w:rsid w:val="009D2EAF"/>
    <w:pPr>
      <w:tabs>
        <w:tab w:val="center" w:pos="4153"/>
        <w:tab w:val="right" w:pos="8306"/>
      </w:tabs>
      <w:snapToGrid w:val="0"/>
    </w:pPr>
    <w:rPr>
      <w:sz w:val="20"/>
      <w:szCs w:val="20"/>
    </w:rPr>
  </w:style>
  <w:style w:type="character" w:customStyle="1" w:styleId="a8">
    <w:name w:val="頁首 字元"/>
    <w:basedOn w:val="a0"/>
    <w:link w:val="a7"/>
    <w:uiPriority w:val="99"/>
    <w:rsid w:val="009D2EAF"/>
    <w:rPr>
      <w:sz w:val="20"/>
      <w:szCs w:val="20"/>
    </w:rPr>
  </w:style>
  <w:style w:type="paragraph" w:styleId="a9">
    <w:name w:val="Balloon Text"/>
    <w:basedOn w:val="a"/>
    <w:link w:val="aa"/>
    <w:uiPriority w:val="99"/>
    <w:semiHidden/>
    <w:unhideWhenUsed/>
    <w:rsid w:val="00654F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4F20"/>
    <w:rPr>
      <w:rFonts w:asciiTheme="majorHAnsi" w:eastAsiaTheme="majorEastAsia" w:hAnsiTheme="majorHAnsi" w:cstheme="majorBidi"/>
      <w:sz w:val="18"/>
      <w:szCs w:val="18"/>
    </w:rPr>
  </w:style>
  <w:style w:type="paragraph" w:styleId="Web">
    <w:name w:val="Normal (Web)"/>
    <w:basedOn w:val="a"/>
    <w:uiPriority w:val="99"/>
    <w:unhideWhenUsed/>
    <w:rsid w:val="00FB44DC"/>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EE1EB2"/>
    <w:rPr>
      <w:sz w:val="18"/>
      <w:szCs w:val="18"/>
    </w:rPr>
  </w:style>
  <w:style w:type="paragraph" w:styleId="ac">
    <w:name w:val="annotation text"/>
    <w:basedOn w:val="a"/>
    <w:link w:val="ad"/>
    <w:uiPriority w:val="99"/>
    <w:semiHidden/>
    <w:unhideWhenUsed/>
    <w:rsid w:val="00EE1EB2"/>
  </w:style>
  <w:style w:type="character" w:customStyle="1" w:styleId="ad">
    <w:name w:val="註解文字 字元"/>
    <w:basedOn w:val="a0"/>
    <w:link w:val="ac"/>
    <w:uiPriority w:val="99"/>
    <w:semiHidden/>
    <w:rsid w:val="00EE1EB2"/>
  </w:style>
  <w:style w:type="paragraph" w:styleId="ae">
    <w:name w:val="annotation subject"/>
    <w:basedOn w:val="ac"/>
    <w:next w:val="ac"/>
    <w:link w:val="af"/>
    <w:uiPriority w:val="99"/>
    <w:semiHidden/>
    <w:unhideWhenUsed/>
    <w:rsid w:val="00EE1EB2"/>
    <w:rPr>
      <w:b/>
      <w:bCs/>
    </w:rPr>
  </w:style>
  <w:style w:type="character" w:customStyle="1" w:styleId="af">
    <w:name w:val="註解主旨 字元"/>
    <w:basedOn w:val="ad"/>
    <w:link w:val="ae"/>
    <w:uiPriority w:val="99"/>
    <w:semiHidden/>
    <w:rsid w:val="00EE1E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450C"/>
    <w:pPr>
      <w:ind w:leftChars="200" w:left="480"/>
    </w:pPr>
  </w:style>
  <w:style w:type="paragraph" w:customStyle="1" w:styleId="Default">
    <w:name w:val="Default"/>
    <w:rsid w:val="00AF450C"/>
    <w:pPr>
      <w:widowControl w:val="0"/>
      <w:autoSpaceDE w:val="0"/>
      <w:autoSpaceDN w:val="0"/>
      <w:adjustRightInd w:val="0"/>
    </w:pPr>
    <w:rPr>
      <w:rFonts w:ascii="標楷體" w:eastAsia="標楷體" w:cs="標楷體"/>
      <w:color w:val="000000"/>
      <w:kern w:val="0"/>
      <w:szCs w:val="24"/>
    </w:rPr>
  </w:style>
  <w:style w:type="paragraph" w:styleId="a5">
    <w:name w:val="footer"/>
    <w:basedOn w:val="a"/>
    <w:link w:val="a6"/>
    <w:uiPriority w:val="99"/>
    <w:rsid w:val="00DB18EA"/>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DB18EA"/>
    <w:rPr>
      <w:rFonts w:ascii="Times New Roman" w:eastAsia="新細明體" w:hAnsi="Times New Roman" w:cs="Times New Roman"/>
      <w:sz w:val="20"/>
      <w:szCs w:val="20"/>
    </w:rPr>
  </w:style>
  <w:style w:type="paragraph" w:styleId="a7">
    <w:name w:val="header"/>
    <w:basedOn w:val="a"/>
    <w:link w:val="a8"/>
    <w:uiPriority w:val="99"/>
    <w:unhideWhenUsed/>
    <w:rsid w:val="009D2EAF"/>
    <w:pPr>
      <w:tabs>
        <w:tab w:val="center" w:pos="4153"/>
        <w:tab w:val="right" w:pos="8306"/>
      </w:tabs>
      <w:snapToGrid w:val="0"/>
    </w:pPr>
    <w:rPr>
      <w:sz w:val="20"/>
      <w:szCs w:val="20"/>
    </w:rPr>
  </w:style>
  <w:style w:type="character" w:customStyle="1" w:styleId="a8">
    <w:name w:val="頁首 字元"/>
    <w:basedOn w:val="a0"/>
    <w:link w:val="a7"/>
    <w:uiPriority w:val="99"/>
    <w:rsid w:val="009D2EAF"/>
    <w:rPr>
      <w:sz w:val="20"/>
      <w:szCs w:val="20"/>
    </w:rPr>
  </w:style>
  <w:style w:type="paragraph" w:styleId="a9">
    <w:name w:val="Balloon Text"/>
    <w:basedOn w:val="a"/>
    <w:link w:val="aa"/>
    <w:uiPriority w:val="99"/>
    <w:semiHidden/>
    <w:unhideWhenUsed/>
    <w:rsid w:val="00654F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4F20"/>
    <w:rPr>
      <w:rFonts w:asciiTheme="majorHAnsi" w:eastAsiaTheme="majorEastAsia" w:hAnsiTheme="majorHAnsi" w:cstheme="majorBidi"/>
      <w:sz w:val="18"/>
      <w:szCs w:val="18"/>
    </w:rPr>
  </w:style>
  <w:style w:type="paragraph" w:styleId="Web">
    <w:name w:val="Normal (Web)"/>
    <w:basedOn w:val="a"/>
    <w:uiPriority w:val="99"/>
    <w:unhideWhenUsed/>
    <w:rsid w:val="00FB44DC"/>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EE1EB2"/>
    <w:rPr>
      <w:sz w:val="18"/>
      <w:szCs w:val="18"/>
    </w:rPr>
  </w:style>
  <w:style w:type="paragraph" w:styleId="ac">
    <w:name w:val="annotation text"/>
    <w:basedOn w:val="a"/>
    <w:link w:val="ad"/>
    <w:uiPriority w:val="99"/>
    <w:semiHidden/>
    <w:unhideWhenUsed/>
    <w:rsid w:val="00EE1EB2"/>
  </w:style>
  <w:style w:type="character" w:customStyle="1" w:styleId="ad">
    <w:name w:val="註解文字 字元"/>
    <w:basedOn w:val="a0"/>
    <w:link w:val="ac"/>
    <w:uiPriority w:val="99"/>
    <w:semiHidden/>
    <w:rsid w:val="00EE1EB2"/>
  </w:style>
  <w:style w:type="paragraph" w:styleId="ae">
    <w:name w:val="annotation subject"/>
    <w:basedOn w:val="ac"/>
    <w:next w:val="ac"/>
    <w:link w:val="af"/>
    <w:uiPriority w:val="99"/>
    <w:semiHidden/>
    <w:unhideWhenUsed/>
    <w:rsid w:val="00EE1EB2"/>
    <w:rPr>
      <w:b/>
      <w:bCs/>
    </w:rPr>
  </w:style>
  <w:style w:type="character" w:customStyle="1" w:styleId="af">
    <w:name w:val="註解主旨 字元"/>
    <w:basedOn w:val="ad"/>
    <w:link w:val="ae"/>
    <w:uiPriority w:val="99"/>
    <w:semiHidden/>
    <w:rsid w:val="00EE1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31E8-8FDF-4443-8485-5B3B6C02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580</Characters>
  <Application>Microsoft Office Word</Application>
  <DocSecurity>0</DocSecurity>
  <Lines>41</Lines>
  <Paragraphs>21</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0279 賴亦晨</dc:creator>
  <cp:lastModifiedBy>0279 賴亦晨</cp:lastModifiedBy>
  <cp:revision>2</cp:revision>
  <cp:lastPrinted>2015-08-25T05:58:00Z</cp:lastPrinted>
  <dcterms:created xsi:type="dcterms:W3CDTF">2015-08-28T07:02:00Z</dcterms:created>
  <dcterms:modified xsi:type="dcterms:W3CDTF">2015-08-28T07:02:00Z</dcterms:modified>
</cp:coreProperties>
</file>